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26" w:rsidRPr="00D54B62" w:rsidRDefault="006D4A26" w:rsidP="006D4A26">
      <w:pPr>
        <w:spacing w:after="0"/>
        <w:jc w:val="center"/>
        <w:rPr>
          <w:rFonts w:ascii="Times New Roman" w:hAnsi="Times New Roman"/>
          <w:b/>
          <w:sz w:val="28"/>
          <w:szCs w:val="28"/>
        </w:rPr>
      </w:pPr>
      <w:bookmarkStart w:id="0" w:name="_Toc314048880"/>
      <w:bookmarkStart w:id="1" w:name="_GoBack"/>
      <w:bookmarkEnd w:id="1"/>
      <w:r w:rsidRPr="00D54B62">
        <w:rPr>
          <w:rFonts w:ascii="Times New Roman" w:hAnsi="Times New Roman"/>
          <w:b/>
          <w:sz w:val="28"/>
          <w:szCs w:val="28"/>
        </w:rPr>
        <w:t xml:space="preserve">Лист регистрации изменений и дополнений, вносимых в Положение о порядке замещения вакантных должностей профессорско-преподавательского состава в </w:t>
      </w:r>
      <w:proofErr w:type="gramStart"/>
      <w:r w:rsidRPr="00D54B62">
        <w:rPr>
          <w:rFonts w:ascii="Times New Roman" w:hAnsi="Times New Roman"/>
          <w:b/>
          <w:sz w:val="28"/>
          <w:szCs w:val="28"/>
        </w:rPr>
        <w:t xml:space="preserve">СВФУ» </w:t>
      </w:r>
      <w:r w:rsidR="00D54B62" w:rsidRPr="00D54B62">
        <w:rPr>
          <w:rFonts w:ascii="Times New Roman" w:hAnsi="Times New Roman"/>
          <w:b/>
          <w:sz w:val="28"/>
          <w:szCs w:val="28"/>
        </w:rPr>
        <w:t xml:space="preserve"> </w:t>
      </w:r>
      <w:r w:rsidRPr="00D54B62">
        <w:rPr>
          <w:rFonts w:ascii="Times New Roman" w:hAnsi="Times New Roman"/>
          <w:sz w:val="28"/>
          <w:szCs w:val="28"/>
        </w:rPr>
        <w:t>(</w:t>
      </w:r>
      <w:proofErr w:type="gramEnd"/>
      <w:r w:rsidRPr="00D54B62">
        <w:rPr>
          <w:rFonts w:ascii="Times New Roman" w:hAnsi="Times New Roman"/>
          <w:sz w:val="28"/>
          <w:szCs w:val="28"/>
        </w:rPr>
        <w:t>утвержденное от 23.03.2017 г.)</w:t>
      </w:r>
    </w:p>
    <w:p w:rsidR="006D4A26" w:rsidRPr="00D54B62" w:rsidRDefault="006D4A26" w:rsidP="006D4A26">
      <w:pPr>
        <w:spacing w:after="0"/>
        <w:ind w:firstLine="708"/>
        <w:jc w:val="both"/>
        <w:rPr>
          <w:rFonts w:ascii="Times New Roman" w:hAnsi="Times New Roman"/>
          <w:sz w:val="28"/>
          <w:szCs w:val="28"/>
        </w:rPr>
      </w:pPr>
    </w:p>
    <w:p w:rsidR="006D4A26" w:rsidRPr="00D54B62" w:rsidRDefault="006D4A26" w:rsidP="006D4A26">
      <w:pPr>
        <w:spacing w:after="0"/>
        <w:ind w:firstLine="708"/>
        <w:jc w:val="both"/>
        <w:rPr>
          <w:rFonts w:ascii="Times New Roman" w:hAnsi="Times New Roman"/>
          <w:sz w:val="28"/>
          <w:szCs w:val="28"/>
        </w:rPr>
      </w:pPr>
      <w:r w:rsidRPr="00D54B62">
        <w:rPr>
          <w:rFonts w:ascii="Times New Roman" w:hAnsi="Times New Roman"/>
          <w:sz w:val="28"/>
          <w:szCs w:val="28"/>
        </w:rPr>
        <w:t>В настоящее Положение вносятся следующие изменения и дополнения на основании Федерального закона от 04.08.2023 г. № 471-ФЗ «О внесении изменений в статьи 332 и 351.7 Трудового кодекса Российской Федерации»:</w:t>
      </w:r>
    </w:p>
    <w:p w:rsidR="006D4A26" w:rsidRPr="00D54B62" w:rsidRDefault="006D4A26" w:rsidP="006D4A26">
      <w:pPr>
        <w:pStyle w:val="a3"/>
        <w:numPr>
          <w:ilvl w:val="0"/>
          <w:numId w:val="1"/>
        </w:numPr>
        <w:spacing w:after="0"/>
        <w:ind w:left="0" w:firstLine="708"/>
        <w:jc w:val="both"/>
        <w:rPr>
          <w:rFonts w:ascii="Times New Roman" w:hAnsi="Times New Roman"/>
          <w:sz w:val="28"/>
          <w:szCs w:val="28"/>
        </w:rPr>
      </w:pPr>
      <w:r w:rsidRPr="00D54B62">
        <w:rPr>
          <w:rFonts w:ascii="Times New Roman" w:hAnsi="Times New Roman"/>
          <w:sz w:val="28"/>
          <w:szCs w:val="28"/>
        </w:rPr>
        <w:t xml:space="preserve">Пункт 3.1 раздела «Общие положения» изложить в следующей редакции: </w:t>
      </w:r>
      <w:r w:rsidRPr="00D54B62">
        <w:rPr>
          <w:rFonts w:ascii="Times New Roman" w:hAnsi="Times New Roman"/>
          <w:sz w:val="28"/>
          <w:szCs w:val="24"/>
        </w:rPr>
        <w:t>«Трудовые договоры на замещение должностей педагогических работников в университете могут заключаться как на неопределенный срок, так и на определенный срок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университетом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6D4A26" w:rsidRPr="00D54B62" w:rsidRDefault="006D4A26" w:rsidP="006D4A26">
      <w:pPr>
        <w:pStyle w:val="a3"/>
        <w:numPr>
          <w:ilvl w:val="0"/>
          <w:numId w:val="1"/>
        </w:numPr>
        <w:spacing w:after="0"/>
        <w:ind w:left="0" w:firstLine="708"/>
        <w:jc w:val="both"/>
        <w:rPr>
          <w:rFonts w:ascii="Times New Roman" w:hAnsi="Times New Roman"/>
          <w:sz w:val="28"/>
          <w:szCs w:val="28"/>
        </w:rPr>
      </w:pPr>
      <w:r w:rsidRPr="00D54B62">
        <w:rPr>
          <w:rFonts w:ascii="Times New Roman" w:hAnsi="Times New Roman"/>
          <w:sz w:val="28"/>
          <w:szCs w:val="28"/>
        </w:rPr>
        <w:t xml:space="preserve">Пункт 3.2. раздела «Общие положения» изложить в следующей редакции: </w:t>
      </w:r>
      <w:r w:rsidRPr="00D54B62">
        <w:rPr>
          <w:rFonts w:ascii="Times New Roman" w:hAnsi="Times New Roman"/>
          <w:sz w:val="28"/>
          <w:szCs w:val="24"/>
        </w:rPr>
        <w:t>«Заключению трудового договора на замещение должности ППС, а также переводу на должность ППС предшествует избрание по конкурсу на замещение соответствующей должности с указанием срока избрания».</w:t>
      </w:r>
    </w:p>
    <w:p w:rsidR="006D4A26" w:rsidRPr="00D54B62" w:rsidRDefault="006D4A26" w:rsidP="006D4A26">
      <w:pPr>
        <w:pStyle w:val="a3"/>
        <w:numPr>
          <w:ilvl w:val="0"/>
          <w:numId w:val="1"/>
        </w:numPr>
        <w:spacing w:after="0"/>
        <w:ind w:left="0" w:firstLine="708"/>
        <w:jc w:val="both"/>
        <w:rPr>
          <w:rFonts w:ascii="Times New Roman" w:hAnsi="Times New Roman"/>
          <w:sz w:val="28"/>
          <w:szCs w:val="28"/>
        </w:rPr>
      </w:pPr>
      <w:r w:rsidRPr="00D54B62">
        <w:rPr>
          <w:rFonts w:ascii="Times New Roman" w:hAnsi="Times New Roman"/>
          <w:sz w:val="28"/>
          <w:szCs w:val="28"/>
        </w:rPr>
        <w:t xml:space="preserve">Пункт 5.30. раздела «Проведение конкурсного отбора на должность профессора» изложить в следующей редакции: </w:t>
      </w:r>
      <w:r w:rsidRPr="00D54B62">
        <w:rPr>
          <w:rFonts w:ascii="Times New Roman" w:hAnsi="Times New Roman"/>
          <w:sz w:val="28"/>
          <w:szCs w:val="24"/>
        </w:rPr>
        <w:t>«Одновременно с принятием решения об избрании на должность педагогического работника Ученый совет СВФУ принимает решение о сроке заключения трудового договора в соответствии с пунктом 3.1. раздела «Общие положения».</w:t>
      </w:r>
    </w:p>
    <w:p w:rsidR="006D4A26" w:rsidRPr="00D54B62" w:rsidRDefault="006D4A26" w:rsidP="006D4A26">
      <w:pPr>
        <w:pStyle w:val="a3"/>
        <w:numPr>
          <w:ilvl w:val="0"/>
          <w:numId w:val="1"/>
        </w:numPr>
        <w:spacing w:after="0"/>
        <w:ind w:left="0" w:firstLine="708"/>
        <w:jc w:val="both"/>
        <w:rPr>
          <w:rFonts w:ascii="Times New Roman" w:hAnsi="Times New Roman"/>
          <w:sz w:val="28"/>
          <w:szCs w:val="28"/>
        </w:rPr>
      </w:pPr>
      <w:r w:rsidRPr="00D54B62">
        <w:rPr>
          <w:rFonts w:ascii="Times New Roman" w:hAnsi="Times New Roman"/>
          <w:sz w:val="28"/>
          <w:szCs w:val="28"/>
        </w:rPr>
        <w:t xml:space="preserve">Часть 2 пункта 6.19. раздела «Проведение конкурсного отбора на другие должности ППС» изложить в следующей редакции: </w:t>
      </w:r>
      <w:r w:rsidRPr="00D54B62">
        <w:rPr>
          <w:rFonts w:ascii="Times New Roman" w:hAnsi="Times New Roman"/>
          <w:sz w:val="28"/>
          <w:szCs w:val="24"/>
        </w:rPr>
        <w:t>«Трудовые договоры заключаются как на неопределенный срок, так и на определенный срок в пределах не менее трех лет и не более пяти лет. Конкретные сроки трудового договора устанавливаются по решению Ученого совета структурного подразделения».</w:t>
      </w:r>
    </w:p>
    <w:bookmarkEnd w:id="0"/>
    <w:p w:rsidR="00E35BC7" w:rsidRDefault="006D4A26" w:rsidP="00D54B62">
      <w:pPr>
        <w:tabs>
          <w:tab w:val="left" w:pos="284"/>
        </w:tabs>
        <w:spacing w:after="0" w:line="240" w:lineRule="auto"/>
        <w:jc w:val="both"/>
      </w:pPr>
      <w:r w:rsidRPr="00D54B62">
        <w:rPr>
          <w:rFonts w:ascii="Times New Roman" w:hAnsi="Times New Roman"/>
          <w:sz w:val="28"/>
          <w:szCs w:val="28"/>
        </w:rPr>
        <w:tab/>
      </w:r>
      <w:r w:rsidRPr="00D54B62">
        <w:rPr>
          <w:rFonts w:ascii="Times New Roman" w:hAnsi="Times New Roman"/>
          <w:sz w:val="28"/>
          <w:szCs w:val="28"/>
        </w:rPr>
        <w:tab/>
        <w:t>Изменения и дополнения внесены решением Ученого совета СВФУ (</w:t>
      </w:r>
      <w:r w:rsidR="004E6240" w:rsidRPr="00D54B62">
        <w:rPr>
          <w:rFonts w:ascii="Times New Roman" w:hAnsi="Times New Roman"/>
          <w:sz w:val="28"/>
          <w:szCs w:val="28"/>
        </w:rPr>
        <w:t>постановление № 1</w:t>
      </w:r>
      <w:r w:rsidRPr="00D54B62">
        <w:rPr>
          <w:rFonts w:ascii="Times New Roman" w:hAnsi="Times New Roman"/>
          <w:sz w:val="28"/>
          <w:szCs w:val="28"/>
        </w:rPr>
        <w:t xml:space="preserve"> от </w:t>
      </w:r>
      <w:r w:rsidR="004E6240" w:rsidRPr="00D54B62">
        <w:rPr>
          <w:rFonts w:ascii="Times New Roman" w:hAnsi="Times New Roman"/>
          <w:sz w:val="28"/>
          <w:szCs w:val="28"/>
        </w:rPr>
        <w:t>28.09.2023</w:t>
      </w:r>
      <w:r w:rsidRPr="00D54B62">
        <w:rPr>
          <w:rFonts w:ascii="Times New Roman" w:hAnsi="Times New Roman"/>
          <w:sz w:val="28"/>
          <w:szCs w:val="28"/>
        </w:rPr>
        <w:t xml:space="preserve"> г.). </w:t>
      </w:r>
    </w:p>
    <w:sectPr w:rsidR="00E35BC7" w:rsidSect="00D54B62">
      <w:headerReference w:type="default" r:id="rId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D97" w:rsidRDefault="00BE7D97" w:rsidP="00A839A7">
      <w:pPr>
        <w:spacing w:after="0" w:line="240" w:lineRule="auto"/>
      </w:pPr>
      <w:r>
        <w:separator/>
      </w:r>
    </w:p>
  </w:endnote>
  <w:endnote w:type="continuationSeparator" w:id="0">
    <w:p w:rsidR="00BE7D97" w:rsidRDefault="00BE7D97"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97" w:rsidRDefault="00BE7D97" w:rsidP="00A839A7">
      <w:pPr>
        <w:spacing w:after="0" w:line="240" w:lineRule="auto"/>
      </w:pPr>
      <w:r>
        <w:separator/>
      </w:r>
    </w:p>
  </w:footnote>
  <w:footnote w:type="continuationSeparator" w:id="0">
    <w:p w:rsidR="00BE7D97" w:rsidRDefault="00BE7D97" w:rsidP="00A8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B62" w:rsidRDefault="00D54B62">
    <w:pPr>
      <w:pStyle w:val="a4"/>
    </w:pPr>
  </w:p>
  <w:tbl>
    <w:tblPr>
      <w:tblW w:w="10206" w:type="dxa"/>
      <w:tblInd w:w="108" w:type="dxa"/>
      <w:tblBorders>
        <w:top w:val="threeDEmboss" w:sz="12" w:space="0" w:color="auto"/>
        <w:left w:val="threeDEmboss" w:sz="12" w:space="0" w:color="auto"/>
        <w:bottom w:val="threeDEmboss" w:sz="12" w:space="0" w:color="auto"/>
        <w:right w:val="threeDEmboss" w:sz="12" w:space="0" w:color="auto"/>
      </w:tblBorders>
      <w:tblLayout w:type="fixed"/>
      <w:tblLook w:val="0000" w:firstRow="0" w:lastRow="0" w:firstColumn="0" w:lastColumn="0" w:noHBand="0" w:noVBand="0"/>
    </w:tblPr>
    <w:tblGrid>
      <w:gridCol w:w="2410"/>
      <w:gridCol w:w="7796"/>
    </w:tblGrid>
    <w:tr w:rsidR="00D54B62" w:rsidRPr="007A1138" w:rsidTr="006A0D6F">
      <w:trPr>
        <w:trHeight w:val="210"/>
      </w:trPr>
      <w:tc>
        <w:tcPr>
          <w:tcW w:w="2410" w:type="dxa"/>
          <w:vMerge w:val="restart"/>
          <w:tcBorders>
            <w:top w:val="threeDEmboss" w:sz="12" w:space="0" w:color="auto"/>
            <w:left w:val="threeDEmboss" w:sz="12" w:space="0" w:color="auto"/>
            <w:right w:val="single" w:sz="6" w:space="0" w:color="auto"/>
          </w:tcBorders>
          <w:vAlign w:val="center"/>
        </w:tcPr>
        <w:p w:rsidR="00D54B62" w:rsidRPr="007A1138" w:rsidRDefault="00D54B62" w:rsidP="00D54B62">
          <w:pPr>
            <w:pStyle w:val="a4"/>
            <w:jc w:val="center"/>
            <w:rPr>
              <w:rFonts w:ascii="Times New Roman" w:hAnsi="Times New Roman"/>
              <w:iCs/>
              <w:noProof/>
            </w:rPr>
          </w:pPr>
          <w:r w:rsidRPr="007A1138">
            <w:rPr>
              <w:rFonts w:ascii="Times New Roman" w:eastAsia="Calibri" w:hAnsi="Times New Roman"/>
              <w:noProof/>
            </w:rPr>
            <w:drawing>
              <wp:inline distT="0" distB="0" distL="0" distR="0" wp14:anchorId="356F1ECD" wp14:editId="02FD7937">
                <wp:extent cx="617855" cy="494030"/>
                <wp:effectExtent l="19050" t="0" r="0" b="0"/>
                <wp:docPr id="7" name="Рисунок 7" descr="Описание: http://s-vfu.ru/uplo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vfu.ru/upload/logo.png"/>
                        <pic:cNvPicPr>
                          <a:picLocks noChangeAspect="1" noChangeArrowheads="1"/>
                        </pic:cNvPicPr>
                      </pic:nvPicPr>
                      <pic:blipFill>
                        <a:blip r:embed="rId1"/>
                        <a:srcRect/>
                        <a:stretch>
                          <a:fillRect/>
                        </a:stretch>
                      </pic:blipFill>
                      <pic:spPr bwMode="auto">
                        <a:xfrm>
                          <a:off x="0" y="0"/>
                          <a:ext cx="617855" cy="494030"/>
                        </a:xfrm>
                        <a:prstGeom prst="rect">
                          <a:avLst/>
                        </a:prstGeom>
                        <a:noFill/>
                        <a:ln w="9525">
                          <a:noFill/>
                          <a:miter lim="800000"/>
                          <a:headEnd/>
                          <a:tailEnd/>
                        </a:ln>
                      </pic:spPr>
                    </pic:pic>
                  </a:graphicData>
                </a:graphic>
              </wp:inline>
            </w:drawing>
          </w:r>
        </w:p>
      </w:tc>
      <w:tc>
        <w:tcPr>
          <w:tcW w:w="7796" w:type="dxa"/>
          <w:tcBorders>
            <w:top w:val="threeDEmboss" w:sz="12" w:space="0" w:color="auto"/>
            <w:left w:val="single" w:sz="6" w:space="0" w:color="auto"/>
            <w:right w:val="threeDEmboss" w:sz="12" w:space="0" w:color="auto"/>
          </w:tcBorders>
          <w:vAlign w:val="center"/>
        </w:tcPr>
        <w:p w:rsidR="00D54B62" w:rsidRPr="007A1138" w:rsidRDefault="00D54B62" w:rsidP="00D54B62">
          <w:pPr>
            <w:pStyle w:val="a4"/>
            <w:jc w:val="center"/>
            <w:rPr>
              <w:rFonts w:ascii="Times New Roman" w:hAnsi="Times New Roman"/>
            </w:rPr>
          </w:pPr>
          <w:r w:rsidRPr="007A1138">
            <w:rPr>
              <w:rFonts w:ascii="Times New Roman" w:hAnsi="Times New Roman"/>
            </w:rPr>
            <w:t>Министерство образования и науки Российской Федерации</w:t>
          </w:r>
        </w:p>
      </w:tc>
    </w:tr>
    <w:tr w:rsidR="00D54B62" w:rsidRPr="007A1138" w:rsidTr="006A0D6F">
      <w:trPr>
        <w:trHeight w:val="195"/>
      </w:trPr>
      <w:tc>
        <w:tcPr>
          <w:tcW w:w="2410" w:type="dxa"/>
          <w:vMerge/>
          <w:tcBorders>
            <w:left w:val="threeDEmboss" w:sz="12" w:space="0" w:color="auto"/>
            <w:right w:val="single" w:sz="6" w:space="0" w:color="auto"/>
          </w:tcBorders>
          <w:vAlign w:val="center"/>
        </w:tcPr>
        <w:p w:rsidR="00D54B62" w:rsidRPr="007A1138" w:rsidRDefault="00D54B62" w:rsidP="00D54B62">
          <w:pPr>
            <w:jc w:val="center"/>
            <w:rPr>
              <w:rFonts w:ascii="Times New Roman" w:hAnsi="Times New Roman"/>
              <w:i/>
              <w:iCs/>
              <w:sz w:val="20"/>
              <w:szCs w:val="20"/>
            </w:rPr>
          </w:pPr>
        </w:p>
      </w:tc>
      <w:tc>
        <w:tcPr>
          <w:tcW w:w="7796" w:type="dxa"/>
          <w:tcBorders>
            <w:top w:val="single" w:sz="6" w:space="0" w:color="auto"/>
            <w:left w:val="single" w:sz="6" w:space="0" w:color="auto"/>
            <w:right w:val="threeDEmboss" w:sz="12" w:space="0" w:color="auto"/>
          </w:tcBorders>
          <w:vAlign w:val="center"/>
        </w:tcPr>
        <w:p w:rsidR="00D54B62" w:rsidRPr="007A1138" w:rsidRDefault="00D54B62" w:rsidP="00D54B62">
          <w:pPr>
            <w:pStyle w:val="a4"/>
            <w:jc w:val="center"/>
            <w:rPr>
              <w:rFonts w:ascii="Times New Roman" w:hAnsi="Times New Roman"/>
            </w:rPr>
          </w:pPr>
          <w:r w:rsidRPr="007A1138">
            <w:rPr>
              <w:rFonts w:ascii="Times New Roman" w:hAnsi="Times New Roman"/>
            </w:rPr>
            <w:t xml:space="preserve">Федеральное государственное автономное образовательное учреждение </w:t>
          </w:r>
        </w:p>
        <w:p w:rsidR="00D54B62" w:rsidRPr="007A1138" w:rsidRDefault="00D54B62" w:rsidP="00D54B62">
          <w:pPr>
            <w:pStyle w:val="a4"/>
            <w:jc w:val="center"/>
            <w:rPr>
              <w:rFonts w:ascii="Times New Roman" w:hAnsi="Times New Roman"/>
            </w:rPr>
          </w:pPr>
          <w:r w:rsidRPr="007A1138">
            <w:rPr>
              <w:rFonts w:ascii="Times New Roman" w:hAnsi="Times New Roman"/>
            </w:rPr>
            <w:t>высшего образования</w:t>
          </w:r>
        </w:p>
        <w:p w:rsidR="00D54B62" w:rsidRPr="007A1138" w:rsidRDefault="00D54B62" w:rsidP="00D54B62">
          <w:pPr>
            <w:pStyle w:val="a4"/>
            <w:jc w:val="center"/>
            <w:rPr>
              <w:rFonts w:ascii="Times New Roman" w:hAnsi="Times New Roman"/>
              <w:lang w:eastAsia="en-US"/>
            </w:rPr>
          </w:pPr>
          <w:r w:rsidRPr="007A1138">
            <w:rPr>
              <w:rFonts w:ascii="Times New Roman" w:hAnsi="Times New Roman"/>
            </w:rPr>
            <w:t xml:space="preserve"> «Северо-Восточный федеральный университет имени </w:t>
          </w:r>
          <w:proofErr w:type="spellStart"/>
          <w:r w:rsidRPr="007A1138">
            <w:rPr>
              <w:rFonts w:ascii="Times New Roman" w:hAnsi="Times New Roman"/>
            </w:rPr>
            <w:t>М.К.Аммосова</w:t>
          </w:r>
          <w:proofErr w:type="spellEnd"/>
          <w:r w:rsidRPr="007A1138">
            <w:rPr>
              <w:rFonts w:ascii="Times New Roman" w:hAnsi="Times New Roman"/>
            </w:rPr>
            <w:t>»</w:t>
          </w:r>
        </w:p>
      </w:tc>
    </w:tr>
    <w:tr w:rsidR="00D54B62" w:rsidRPr="007A1138" w:rsidTr="006A0D6F">
      <w:trPr>
        <w:trHeight w:val="195"/>
      </w:trPr>
      <w:tc>
        <w:tcPr>
          <w:tcW w:w="2410" w:type="dxa"/>
          <w:vMerge/>
          <w:tcBorders>
            <w:left w:val="threeDEmboss" w:sz="12" w:space="0" w:color="auto"/>
            <w:right w:val="single" w:sz="6" w:space="0" w:color="auto"/>
          </w:tcBorders>
          <w:vAlign w:val="center"/>
        </w:tcPr>
        <w:p w:rsidR="00D54B62" w:rsidRPr="007A1138" w:rsidRDefault="00D54B62" w:rsidP="00D54B62">
          <w:pPr>
            <w:jc w:val="center"/>
            <w:rPr>
              <w:rFonts w:ascii="Times New Roman" w:hAnsi="Times New Roman"/>
              <w:i/>
              <w:iCs/>
              <w:sz w:val="20"/>
              <w:szCs w:val="20"/>
            </w:rPr>
          </w:pPr>
        </w:p>
      </w:tc>
      <w:tc>
        <w:tcPr>
          <w:tcW w:w="7796" w:type="dxa"/>
          <w:tcBorders>
            <w:top w:val="single" w:sz="6" w:space="0" w:color="auto"/>
            <w:left w:val="single" w:sz="6" w:space="0" w:color="auto"/>
            <w:right w:val="threeDEmboss" w:sz="12" w:space="0" w:color="auto"/>
          </w:tcBorders>
          <w:vAlign w:val="center"/>
        </w:tcPr>
        <w:p w:rsidR="00D54B62" w:rsidRPr="007A1138" w:rsidRDefault="00D54B62" w:rsidP="00D54B62">
          <w:pPr>
            <w:pStyle w:val="a4"/>
            <w:jc w:val="center"/>
            <w:rPr>
              <w:rFonts w:ascii="Times New Roman" w:hAnsi="Times New Roman"/>
              <w:b/>
              <w:bCs/>
              <w:lang w:eastAsia="en-US"/>
            </w:rPr>
          </w:pPr>
          <w:r w:rsidRPr="007A1138">
            <w:rPr>
              <w:rFonts w:ascii="Times New Roman" w:hAnsi="Times New Roman"/>
              <w:b/>
              <w:bCs/>
              <w:lang w:eastAsia="en-US"/>
            </w:rPr>
            <w:t>Система менеджмента качества</w:t>
          </w:r>
        </w:p>
      </w:tc>
    </w:tr>
    <w:tr w:rsidR="00D54B62" w:rsidRPr="007A1138" w:rsidTr="006A0D6F">
      <w:tblPrEx>
        <w:tblBorders>
          <w:insideH w:val="single" w:sz="6" w:space="0" w:color="auto"/>
          <w:insideV w:val="single" w:sz="6" w:space="0" w:color="auto"/>
        </w:tblBorders>
      </w:tblPrEx>
      <w:trPr>
        <w:trHeight w:val="369"/>
      </w:trPr>
      <w:tc>
        <w:tcPr>
          <w:tcW w:w="2410" w:type="dxa"/>
          <w:tcBorders>
            <w:top w:val="single" w:sz="6" w:space="0" w:color="auto"/>
            <w:left w:val="threeDEmboss" w:sz="12" w:space="0" w:color="auto"/>
            <w:bottom w:val="threeDEmboss" w:sz="12" w:space="0" w:color="auto"/>
            <w:right w:val="single" w:sz="6" w:space="0" w:color="auto"/>
          </w:tcBorders>
          <w:vAlign w:val="center"/>
        </w:tcPr>
        <w:p w:rsidR="00D54B62" w:rsidRPr="007A1138" w:rsidRDefault="00D54B62" w:rsidP="00D54B62">
          <w:pPr>
            <w:pStyle w:val="Iauiue"/>
            <w:ind w:left="-57" w:right="-1"/>
            <w:jc w:val="center"/>
            <w:rPr>
              <w:b/>
              <w:lang w:val="ru-RU"/>
            </w:rPr>
          </w:pPr>
          <w:r w:rsidRPr="007A1138">
            <w:rPr>
              <w:b/>
              <w:lang w:val="ru-RU"/>
            </w:rPr>
            <w:t>СМК-П-3.1-277-17</w:t>
          </w:r>
        </w:p>
        <w:p w:rsidR="00D54B62" w:rsidRPr="007A1138" w:rsidRDefault="00D54B62" w:rsidP="00D54B62">
          <w:pPr>
            <w:pStyle w:val="a6"/>
            <w:ind w:left="-68" w:hanging="11"/>
            <w:jc w:val="center"/>
            <w:rPr>
              <w:rFonts w:ascii="Times New Roman" w:hAnsi="Times New Roman"/>
              <w:b/>
              <w:bCs/>
              <w:sz w:val="20"/>
              <w:szCs w:val="20"/>
            </w:rPr>
          </w:pPr>
          <w:r w:rsidRPr="007A1138">
            <w:rPr>
              <w:rFonts w:ascii="Times New Roman" w:hAnsi="Times New Roman"/>
              <w:b/>
              <w:bCs/>
              <w:sz w:val="20"/>
              <w:szCs w:val="20"/>
            </w:rPr>
            <w:t>Версия 2.0</w:t>
          </w:r>
        </w:p>
      </w:tc>
      <w:tc>
        <w:tcPr>
          <w:tcW w:w="7796" w:type="dxa"/>
          <w:tcBorders>
            <w:top w:val="single" w:sz="4" w:space="0" w:color="auto"/>
            <w:left w:val="single" w:sz="6" w:space="0" w:color="auto"/>
            <w:bottom w:val="threeDEmboss" w:sz="12" w:space="0" w:color="auto"/>
            <w:right w:val="threeDEmboss" w:sz="12" w:space="0" w:color="auto"/>
          </w:tcBorders>
          <w:vAlign w:val="center"/>
        </w:tcPr>
        <w:p w:rsidR="00D54B62" w:rsidRPr="007A1138" w:rsidRDefault="00D54B62" w:rsidP="00D54B62">
          <w:pPr>
            <w:spacing w:after="0" w:line="240" w:lineRule="auto"/>
            <w:ind w:hanging="6"/>
            <w:jc w:val="center"/>
            <w:rPr>
              <w:rFonts w:ascii="Times New Roman" w:hAnsi="Times New Roman"/>
              <w:b/>
              <w:bCs/>
              <w:i/>
              <w:iCs/>
              <w:sz w:val="20"/>
              <w:szCs w:val="20"/>
            </w:rPr>
          </w:pPr>
          <w:r w:rsidRPr="007A1138">
            <w:rPr>
              <w:rFonts w:ascii="Times New Roman" w:hAnsi="Times New Roman"/>
              <w:b/>
              <w:bCs/>
              <w:i/>
              <w:iCs/>
              <w:sz w:val="20"/>
              <w:szCs w:val="20"/>
            </w:rPr>
            <w:t>Положение о порядке замещения вакантных должностей профессорско-преподавательского состава в СВФУ</w:t>
          </w:r>
        </w:p>
      </w:tc>
    </w:tr>
  </w:tbl>
  <w:p w:rsidR="00A839A7" w:rsidRDefault="00A839A7" w:rsidP="00D54B62">
    <w:pPr>
      <w:pStyle w:val="a4"/>
      <w:ind w:left="-567"/>
    </w:pPr>
  </w:p>
  <w:p w:rsidR="00A839A7" w:rsidRDefault="00A839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B1C46"/>
    <w:multiLevelType w:val="hybridMultilevel"/>
    <w:tmpl w:val="B0D426FC"/>
    <w:lvl w:ilvl="0" w:tplc="48B268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26"/>
    <w:rsid w:val="0001694A"/>
    <w:rsid w:val="00021140"/>
    <w:rsid w:val="00030141"/>
    <w:rsid w:val="000454A7"/>
    <w:rsid w:val="0007549B"/>
    <w:rsid w:val="00077B5C"/>
    <w:rsid w:val="00086797"/>
    <w:rsid w:val="000A7ACC"/>
    <w:rsid w:val="001034F5"/>
    <w:rsid w:val="001232EB"/>
    <w:rsid w:val="00155A54"/>
    <w:rsid w:val="00160D1B"/>
    <w:rsid w:val="0016331E"/>
    <w:rsid w:val="0016366C"/>
    <w:rsid w:val="00193C99"/>
    <w:rsid w:val="00196DFB"/>
    <w:rsid w:val="001A07A2"/>
    <w:rsid w:val="001A3D0B"/>
    <w:rsid w:val="001B08C3"/>
    <w:rsid w:val="001C0088"/>
    <w:rsid w:val="001C6EEE"/>
    <w:rsid w:val="00207665"/>
    <w:rsid w:val="002241E3"/>
    <w:rsid w:val="00226692"/>
    <w:rsid w:val="002316B8"/>
    <w:rsid w:val="002340F5"/>
    <w:rsid w:val="00262D1A"/>
    <w:rsid w:val="00265DD8"/>
    <w:rsid w:val="00294C17"/>
    <w:rsid w:val="002B3B30"/>
    <w:rsid w:val="002B53C8"/>
    <w:rsid w:val="002E3230"/>
    <w:rsid w:val="002F5269"/>
    <w:rsid w:val="0030252F"/>
    <w:rsid w:val="00351B53"/>
    <w:rsid w:val="00363A28"/>
    <w:rsid w:val="0037578F"/>
    <w:rsid w:val="003B647A"/>
    <w:rsid w:val="003C0363"/>
    <w:rsid w:val="003C2AAF"/>
    <w:rsid w:val="003D09DE"/>
    <w:rsid w:val="003D24E2"/>
    <w:rsid w:val="00402D39"/>
    <w:rsid w:val="00404B55"/>
    <w:rsid w:val="004130CD"/>
    <w:rsid w:val="00415C49"/>
    <w:rsid w:val="004220A8"/>
    <w:rsid w:val="00427875"/>
    <w:rsid w:val="00430408"/>
    <w:rsid w:val="0043061B"/>
    <w:rsid w:val="004605E6"/>
    <w:rsid w:val="004A0CA2"/>
    <w:rsid w:val="004A6A48"/>
    <w:rsid w:val="004C31ED"/>
    <w:rsid w:val="004D1844"/>
    <w:rsid w:val="004D3BFE"/>
    <w:rsid w:val="004E6240"/>
    <w:rsid w:val="00521CF0"/>
    <w:rsid w:val="005261E2"/>
    <w:rsid w:val="005764B9"/>
    <w:rsid w:val="005A6AA3"/>
    <w:rsid w:val="005C168B"/>
    <w:rsid w:val="005D659A"/>
    <w:rsid w:val="006042DE"/>
    <w:rsid w:val="0063272B"/>
    <w:rsid w:val="006344C9"/>
    <w:rsid w:val="00636296"/>
    <w:rsid w:val="00642A89"/>
    <w:rsid w:val="00653C60"/>
    <w:rsid w:val="00664811"/>
    <w:rsid w:val="006776F9"/>
    <w:rsid w:val="006A2B0D"/>
    <w:rsid w:val="006A69EE"/>
    <w:rsid w:val="006A7BDA"/>
    <w:rsid w:val="006D4A26"/>
    <w:rsid w:val="006E0A03"/>
    <w:rsid w:val="006F24BD"/>
    <w:rsid w:val="006F7243"/>
    <w:rsid w:val="006F78E3"/>
    <w:rsid w:val="00734284"/>
    <w:rsid w:val="0074097F"/>
    <w:rsid w:val="007508B9"/>
    <w:rsid w:val="00752865"/>
    <w:rsid w:val="00763266"/>
    <w:rsid w:val="00774E77"/>
    <w:rsid w:val="007762AD"/>
    <w:rsid w:val="00782B15"/>
    <w:rsid w:val="00784EB4"/>
    <w:rsid w:val="00796F13"/>
    <w:rsid w:val="007A1138"/>
    <w:rsid w:val="007A4904"/>
    <w:rsid w:val="007A6B72"/>
    <w:rsid w:val="007B0D23"/>
    <w:rsid w:val="007C2AB3"/>
    <w:rsid w:val="007F23BA"/>
    <w:rsid w:val="007F6162"/>
    <w:rsid w:val="00817591"/>
    <w:rsid w:val="008214D5"/>
    <w:rsid w:val="00832113"/>
    <w:rsid w:val="00840AC7"/>
    <w:rsid w:val="0085065B"/>
    <w:rsid w:val="0085121A"/>
    <w:rsid w:val="00860FDB"/>
    <w:rsid w:val="00863D7B"/>
    <w:rsid w:val="00874239"/>
    <w:rsid w:val="00890F22"/>
    <w:rsid w:val="00897CF5"/>
    <w:rsid w:val="008A071E"/>
    <w:rsid w:val="008A6EE7"/>
    <w:rsid w:val="008B2DF7"/>
    <w:rsid w:val="008B5847"/>
    <w:rsid w:val="008C7FEC"/>
    <w:rsid w:val="008D5EEE"/>
    <w:rsid w:val="008D6DEE"/>
    <w:rsid w:val="008E6B93"/>
    <w:rsid w:val="00931281"/>
    <w:rsid w:val="00941CCB"/>
    <w:rsid w:val="0094218E"/>
    <w:rsid w:val="009477ED"/>
    <w:rsid w:val="009633D1"/>
    <w:rsid w:val="009729CB"/>
    <w:rsid w:val="009805ED"/>
    <w:rsid w:val="009860B2"/>
    <w:rsid w:val="009A5F4A"/>
    <w:rsid w:val="009A63C0"/>
    <w:rsid w:val="009A69FB"/>
    <w:rsid w:val="009C41F9"/>
    <w:rsid w:val="009D630B"/>
    <w:rsid w:val="009E35E3"/>
    <w:rsid w:val="009E7A3B"/>
    <w:rsid w:val="009F5BDA"/>
    <w:rsid w:val="00A02AED"/>
    <w:rsid w:val="00A150B2"/>
    <w:rsid w:val="00A3191F"/>
    <w:rsid w:val="00A32DBC"/>
    <w:rsid w:val="00A430A3"/>
    <w:rsid w:val="00A47DF4"/>
    <w:rsid w:val="00A8225F"/>
    <w:rsid w:val="00A839A7"/>
    <w:rsid w:val="00A83FE8"/>
    <w:rsid w:val="00A85FA8"/>
    <w:rsid w:val="00A94F89"/>
    <w:rsid w:val="00A9653F"/>
    <w:rsid w:val="00AA1488"/>
    <w:rsid w:val="00AB5046"/>
    <w:rsid w:val="00AD3E87"/>
    <w:rsid w:val="00AE3DD8"/>
    <w:rsid w:val="00AE70D1"/>
    <w:rsid w:val="00B030A8"/>
    <w:rsid w:val="00B13125"/>
    <w:rsid w:val="00B17C79"/>
    <w:rsid w:val="00B2541D"/>
    <w:rsid w:val="00B411A9"/>
    <w:rsid w:val="00B43F8C"/>
    <w:rsid w:val="00B7491D"/>
    <w:rsid w:val="00B75360"/>
    <w:rsid w:val="00B85328"/>
    <w:rsid w:val="00BC1359"/>
    <w:rsid w:val="00BC3AB8"/>
    <w:rsid w:val="00BE5DFB"/>
    <w:rsid w:val="00BE7D97"/>
    <w:rsid w:val="00BF319F"/>
    <w:rsid w:val="00BF79C3"/>
    <w:rsid w:val="00C04129"/>
    <w:rsid w:val="00C249F6"/>
    <w:rsid w:val="00C3711D"/>
    <w:rsid w:val="00C6520C"/>
    <w:rsid w:val="00CA6635"/>
    <w:rsid w:val="00D02E3F"/>
    <w:rsid w:val="00D06B25"/>
    <w:rsid w:val="00D20A33"/>
    <w:rsid w:val="00D440F9"/>
    <w:rsid w:val="00D45F69"/>
    <w:rsid w:val="00D54B62"/>
    <w:rsid w:val="00D75188"/>
    <w:rsid w:val="00DB5480"/>
    <w:rsid w:val="00DD23F2"/>
    <w:rsid w:val="00DD6464"/>
    <w:rsid w:val="00DF4C16"/>
    <w:rsid w:val="00E27C29"/>
    <w:rsid w:val="00E35BC7"/>
    <w:rsid w:val="00E74D56"/>
    <w:rsid w:val="00EA11C8"/>
    <w:rsid w:val="00EC0C57"/>
    <w:rsid w:val="00EE37F8"/>
    <w:rsid w:val="00EE6769"/>
    <w:rsid w:val="00F2227B"/>
    <w:rsid w:val="00F61523"/>
    <w:rsid w:val="00F662ED"/>
    <w:rsid w:val="00F73A0E"/>
    <w:rsid w:val="00F751C2"/>
    <w:rsid w:val="00F83AEF"/>
    <w:rsid w:val="00F92BEA"/>
    <w:rsid w:val="00F95D33"/>
    <w:rsid w:val="00FA2AD9"/>
    <w:rsid w:val="00FD10D5"/>
    <w:rsid w:val="00FD13DF"/>
    <w:rsid w:val="00FE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CEA7B3-9EA8-4711-8AC7-520FF79E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4A2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A26"/>
    <w:pPr>
      <w:ind w:left="720"/>
      <w:contextualSpacing/>
    </w:pPr>
  </w:style>
  <w:style w:type="paragraph" w:styleId="a4">
    <w:name w:val="header"/>
    <w:basedOn w:val="a"/>
    <w:link w:val="a5"/>
    <w:uiPriority w:val="99"/>
    <w:unhideWhenUsed/>
    <w:rsid w:val="00A83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9A7"/>
    <w:rPr>
      <w:rFonts w:ascii="Calibri" w:eastAsia="Times New Roman" w:hAnsi="Calibri" w:cs="Times New Roman"/>
      <w:lang w:eastAsia="ru-RU"/>
    </w:rPr>
  </w:style>
  <w:style w:type="paragraph" w:styleId="a6">
    <w:name w:val="footer"/>
    <w:basedOn w:val="a"/>
    <w:link w:val="a7"/>
    <w:uiPriority w:val="99"/>
    <w:unhideWhenUsed/>
    <w:rsid w:val="00A839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9A7"/>
    <w:rPr>
      <w:rFonts w:ascii="Calibri" w:eastAsia="Times New Roman" w:hAnsi="Calibri" w:cs="Times New Roman"/>
      <w:lang w:eastAsia="ru-RU"/>
    </w:rPr>
  </w:style>
  <w:style w:type="paragraph" w:customStyle="1" w:styleId="Iauiue">
    <w:name w:val="Iau?iue"/>
    <w:link w:val="Iauiue0"/>
    <w:rsid w:val="00D54B62"/>
    <w:pPr>
      <w:spacing w:after="0" w:line="240" w:lineRule="auto"/>
    </w:pPr>
    <w:rPr>
      <w:rFonts w:ascii="Times New Roman" w:eastAsia="Times New Roman" w:hAnsi="Times New Roman" w:cs="Times New Roman"/>
      <w:sz w:val="20"/>
      <w:szCs w:val="20"/>
      <w:lang w:val="en-US" w:eastAsia="ru-RU"/>
    </w:rPr>
  </w:style>
  <w:style w:type="character" w:customStyle="1" w:styleId="Iauiue0">
    <w:name w:val="Iau?iue Знак"/>
    <w:link w:val="Iauiue"/>
    <w:locked/>
    <w:rsid w:val="00D54B62"/>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Тодышева Вера Дмитриевна</dc:creator>
  <cp:keywords/>
  <dc:description/>
  <cp:lastModifiedBy>Тодышева Вера Дмитриевна</cp:lastModifiedBy>
  <cp:revision>2</cp:revision>
  <dcterms:created xsi:type="dcterms:W3CDTF">2023-11-21T01:17:00Z</dcterms:created>
  <dcterms:modified xsi:type="dcterms:W3CDTF">2023-11-21T01:17:00Z</dcterms:modified>
</cp:coreProperties>
</file>